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37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u w:val="single"/>
          <w:lang w:val="pt-BR" w:eastAsia="zh-CN" w:bidi="ar-SA"/>
        </w:rPr>
        <w:t>/2024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____/2024.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76" w:before="57" w:after="57"/>
        <w:ind w:hanging="0" w:left="720" w:right="0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AQUISIÇÃO DE MATERIAIS PERMANENTES PARA APAE 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2. LOCAL DE ENTREGA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</w:t>
      </w:r>
      <w:r>
        <w:rPr>
          <w:rFonts w:cs="Arial" w:ascii="Verdana" w:hAnsi="Verdana"/>
          <w:b w:val="false"/>
          <w:bCs w:val="false"/>
          <w:sz w:val="20"/>
          <w:szCs w:val="20"/>
        </w:rPr>
        <w:t>airro Glória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 29.7800-000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27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E-mail: </w:t>
      </w:r>
      <w:hyperlink r:id="rId2">
        <w:r>
          <w:rPr>
            <w:rStyle w:val="Hyperlink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hanging="0" w:left="0" w:right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019/2024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a aquisição de materiais permanentes para Apae.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Em 2022 a Associação de Pais e Amigos dos Excepcionais foi contemplada com emenda parlamentar para aquisição de equipamentos</w:t>
      </w:r>
      <w:r>
        <w:rPr>
          <w:rStyle w:val="Fontepargpadro"/>
          <w:rFonts w:eastAsia="Calibri" w:cs="Arial" w:ascii="Verdana" w:hAnsi="Verdana"/>
          <w:b w:val="false"/>
          <w:bCs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;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Style w:val="Fontepargpadro"/>
          <w:rFonts w:cs="Arial" w:ascii="Verdana" w:hAnsi="Verdana"/>
          <w:b w:val="false"/>
          <w:bCs/>
          <w:i w:val="false"/>
          <w:iCs w:val="false"/>
          <w:color w:val="000000"/>
          <w:sz w:val="20"/>
          <w:szCs w:val="20"/>
          <w:shd w:fill="auto" w:val="clear"/>
        </w:rPr>
        <w:t>No mesmo ano foi aberto processo administrativo para aquisição dos materiais, mas alguns deles foram tidos como “fracassados” na licitação, porém são necessários à Instituição pois constam no Plano de trabalho apresentado ao Programa SIGTV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76" w:before="57" w:after="57"/>
        <w:ind w:hanging="0" w:left="0" w:right="0"/>
        <w:jc w:val="both"/>
        <w:rPr/>
      </w:pPr>
      <w:r>
        <w:rPr>
          <w:rStyle w:val="Fontepargpadro"/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shd w:fill="auto" w:val="clear"/>
        </w:rPr>
        <w:t>5.3.</w:t>
      </w:r>
      <w:r>
        <w:rPr>
          <w:rStyle w:val="Fontepargpadro"/>
          <w:rFonts w:cs="Arial" w:ascii="Verdana" w:hAnsi="Verdana"/>
          <w:b w:val="false"/>
          <w:bCs/>
          <w:i w:val="false"/>
          <w:iCs w:val="false"/>
          <w:color w:val="000000"/>
          <w:sz w:val="20"/>
          <w:szCs w:val="20"/>
          <w:shd w:fill="auto" w:val="clear"/>
        </w:rPr>
        <w:t xml:space="preserve"> A emenda parlamentar está cadastrada sob nº 320470820200001/20;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Para fornecimento dos produtos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a CONTRATADA deve: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Se submeter às regras do edital de licitação ou dispensa de licitação, apresentando toda a documentação exigida pelo órgão público competente; 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b)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Estar em dia com as obrigações fiscais da empresa; 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c)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Fornecer todas e quaisquer informações solicitadas pela administração pública no que diz respeito à contratação;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d)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em perfeitas condições de uso, sem nenhuma avaria que comprometa a sua qualidade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e)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conforme a cotação de preços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f)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a entrega dos produtos dentro do prazo determinado, sendo de sua total responsabilidade os custos com a logística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widowControl/>
        <w:suppressAutoHyphens w:val="true"/>
        <w:overflowPunct w:val="true"/>
        <w:bidi w:val="0"/>
        <w:spacing w:lineRule="auto" w:line="276" w:before="57" w:after="57"/>
        <w:ind w:firstLine="567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g)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substituição dos produtos danificados em até 05 dias, se for o caso.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7.2.1.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7.2.2.</w:t>
      </w: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 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i/>
          <w:i/>
          <w:iCs/>
          <w:sz w:val="20"/>
          <w:szCs w:val="20"/>
          <w:highlight w:val="none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ind w:hanging="0" w:left="0" w:right="0"/>
        <w:jc w:val="both"/>
        <w:rPr>
          <w:rFonts w:eastAsia="Times New Roman" w:cs="Arial"/>
          <w:color w:val="000000"/>
          <w:kern w:val="0"/>
          <w:shd w:fill="auto" w:val="clear"/>
          <w:lang w:val="pt-BR" w:eastAsia="zh-CN" w:bidi="ar-SA"/>
        </w:rPr>
      </w:pPr>
      <w:r>
        <w:rPr>
          <w:rFonts w:eastAsia="Times New Roman" w:cs="Arial"/>
          <w:color w:val="000000"/>
          <w:kern w:val="0"/>
          <w:shd w:fill="auto" w:val="clear"/>
          <w:lang w:val="pt-BR" w:eastAsia="zh-CN" w:bidi="ar-SA"/>
        </w:rPr>
      </w:r>
    </w:p>
    <w:tbl>
      <w:tblPr>
        <w:tblW w:w="8950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023"/>
        <w:gridCol w:w="1751"/>
        <w:gridCol w:w="1136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Qtde.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Tabela de Basquete com aro, rede e bola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Tenda sanfonada 3x3 m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Aro de basquete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Cortina blackout 2,6x1,70m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Longarina 05 lugares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Relógio de parede</w:t>
            </w:r>
          </w:p>
        </w:tc>
        <w:tc>
          <w:tcPr>
            <w:tcW w:w="17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1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03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9.3.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Foram consultadas empresas do ramo.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9.526,57</w:t>
      </w:r>
      <w:r>
        <w:rPr>
          <w:rFonts w:eastAsia="Arial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ind w:hanging="0" w:left="0" w:right="0"/>
        <w:jc w:val="both"/>
        <w:rPr>
          <w:rFonts w:cs="Arial"/>
          <w:shd w:fill="auto" w:val="clear"/>
        </w:rPr>
      </w:pPr>
      <w:r>
        <w:rPr>
          <w:rFonts w:cs="Arial"/>
          <w:shd w:fill="auto" w:val="clear"/>
        </w:rPr>
      </w:r>
    </w:p>
    <w:tbl>
      <w:tblPr>
        <w:tblW w:w="9013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8"/>
        <w:gridCol w:w="4249"/>
        <w:gridCol w:w="675"/>
        <w:gridCol w:w="512"/>
        <w:gridCol w:w="1363"/>
        <w:gridCol w:w="1475"/>
      </w:tblGrid>
      <w:tr>
        <w:trPr/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Unid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Total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Tabela de Basquete com aro, rede e bola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R$ 286,50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R$ 573,00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Tenda sanfonada 3x3 m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R$ 1.224,90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R$ 2.449,80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Aro de basquete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R$ 170,05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R$ 170,05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Cortina blackout 2,60x1,70m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R$ 95,60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R$ 1.434,00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Longarina 05 lugares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02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R$ 2.387,01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R$ 4.774,02</w:t>
            </w:r>
          </w:p>
        </w:tc>
      </w:tr>
      <w:tr>
        <w:trPr/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2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000000"/>
                <w:kern w:val="0"/>
                <w:sz w:val="20"/>
                <w:szCs w:val="20"/>
                <w:lang w:val="pt-BR" w:eastAsia="pt-BR" w:bidi="ar-SA"/>
              </w:rPr>
              <w:t>Relógio de parede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03</w:t>
            </w:r>
          </w:p>
        </w:tc>
        <w:tc>
          <w:tcPr>
            <w:tcW w:w="136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R$ 41,90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R$ 125,70</w:t>
            </w:r>
          </w:p>
        </w:tc>
      </w:tr>
      <w:tr>
        <w:trPr/>
        <w:tc>
          <w:tcPr>
            <w:tcW w:w="7537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4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9.526,57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cumprimento integral dos dispositivos da emenda parlamentar destinada à estruturação da Instituição</w:t>
      </w:r>
      <w:r>
        <w:rPr>
          <w:rStyle w:val="Fontepargpadro"/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Style w:val="Fontepargpadro"/>
          <w:rFonts w:cs="Arial" w:ascii="Verdana" w:hAnsi="Verdana"/>
          <w:b/>
          <w:bCs/>
          <w:i w:val="false"/>
          <w:iCs w:val="false"/>
          <w:sz w:val="20"/>
          <w:szCs w:val="20"/>
          <w:shd w:fill="auto" w:val="clear"/>
        </w:rPr>
        <w:t>10.2.</w:t>
      </w:r>
      <w:r>
        <w:rPr>
          <w:rStyle w:val="Fontepargpadro"/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 Este ato, por se tratar</w:t>
      </w:r>
      <w:r>
        <w:rPr>
          <w:rStyle w:val="Fontepargpadro"/>
          <w:rFonts w:cs="Arial" w:ascii="Verdana" w:hAnsi="Verdana"/>
          <w:b/>
          <w:bCs/>
          <w:i w:val="false"/>
          <w:iCs w:val="false"/>
          <w:sz w:val="20"/>
          <w:szCs w:val="20"/>
          <w:shd w:fill="auto" w:val="clear"/>
        </w:rPr>
        <w:t xml:space="preserve"> </w:t>
      </w:r>
      <w:r>
        <w:rPr>
          <w:rStyle w:val="Fontepargpadro"/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de programação parlamentar, chancelado anteriormente a este exercício, estando previsto nos orçamentos anteriores e tendo sido iniciado nos órgãos da administração pública no ano de 2022, não fere a Legislação eleitoral.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10.3.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serviços deverão ser realizados respeitando as seguintes tarefas: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8" w:leader="none"/>
        </w:tabs>
        <w:suppressAutoHyphens w:val="true"/>
        <w:overflowPunct w:val="true"/>
        <w:bidi w:val="0"/>
        <w:spacing w:lineRule="auto" w:line="276" w:before="57" w:after="57"/>
        <w:ind w:firstLine="51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Fornecimento dos produtos em perfeitas condições de uso e dentro do prazo estabelecido. 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8" w:leader="none"/>
        </w:tabs>
        <w:suppressAutoHyphens w:val="true"/>
        <w:overflowPunct w:val="true"/>
        <w:bidi w:val="0"/>
        <w:spacing w:lineRule="auto" w:line="276" w:before="57" w:after="57"/>
        <w:ind w:firstLine="51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Responsabilizar-se pela logística e todo procedimento de entrega dos itens;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8" w:leader="none"/>
        </w:tabs>
        <w:suppressAutoHyphens w:val="true"/>
        <w:overflowPunct w:val="true"/>
        <w:bidi w:val="0"/>
        <w:spacing w:lineRule="auto" w:line="276" w:before="57" w:after="57"/>
        <w:ind w:firstLine="51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produtos de acordo com a marca e modelo presente na cotação de preços;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075" w:leader="none"/>
        </w:tabs>
        <w:suppressAutoHyphens w:val="true"/>
        <w:overflowPunct w:val="true"/>
        <w:bidi w:val="0"/>
        <w:spacing w:lineRule="auto" w:line="276" w:before="57" w:after="57"/>
        <w:ind w:firstLine="51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Todos os produtos devem vir acompanhados dos acessórios necessários à sua instalação e/ou funcionamento.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>Os produtos que apresentarem avarias ou defeitos, serão devolvidos ao fornecedor e este terá o prazo de até 10 dias para repor o item;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10.5.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 serviço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10.6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.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>contratação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11.1.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objeto da contratação será composto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06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 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9.526,57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finalidade garantir o uso total do recurso enviado para estruturação da Instituição.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Os produtos visam garantir melhor ambiente de convivência e desenvolvimento de atividades para os matriculados no local.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prestação dos serviços,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 xml:space="preserve">Considerando a necessidade de aquisição dos produtos decidiu-se pela contratação por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dispensa </w:t>
      </w:r>
      <w:r>
        <w:rPr>
          <w:rFonts w:cs="Arial" w:ascii="Verdana" w:hAnsi="Verdana"/>
          <w:sz w:val="20"/>
          <w:szCs w:val="20"/>
          <w:shd w:fill="auto" w:val="clear"/>
        </w:rPr>
        <w:t xml:space="preserve">de licitação. 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06</w:t>
      </w:r>
      <w:r>
        <w:rPr>
          <w:rFonts w:cs="Arial" w:ascii="Verdana" w:hAnsi="Verdana"/>
          <w:sz w:val="20"/>
          <w:szCs w:val="20"/>
        </w:rPr>
        <w:t xml:space="preserve"> de agosto de 2024. 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013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63"/>
        <w:gridCol w:w="4649"/>
      </w:tblGrid>
      <w:tr>
        <w:trPr/>
        <w:tc>
          <w:tcPr>
            <w:tcW w:w="436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  <w:p>
            <w:pPr>
              <w:pStyle w:val="Normal"/>
              <w:widowControl w:val="false"/>
              <w:suppressAutoHyphens w:val="false"/>
              <w:spacing w:lineRule="auto" w:line="276" w:before="57" w:after="57"/>
              <w:ind w:hanging="0" w:left="0" w:right="0"/>
              <w:jc w:val="both"/>
              <w:rPr>
                <w:rFonts w:cs="Arial"/>
                <w:b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pPr>
            <w:r>
              <w:rPr>
                <w:rFonts w:cs="Arial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u w:val="none"/>
              </w:rPr>
            </w:r>
          </w:p>
        </w:tc>
        <w:tc>
          <w:tcPr>
            <w:tcW w:w="4649" w:type="dxa"/>
            <w:tcBorders/>
          </w:tcPr>
          <w:p>
            <w:pPr>
              <w:pStyle w:val="Normal"/>
              <w:widowControl w:val="false"/>
              <w:spacing w:lineRule="auto" w:line="276" w:before="57" w:after="57"/>
              <w:ind w:hanging="0" w:left="0" w:right="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363" w:type="dxa"/>
            <w:tcBorders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649" w:type="dxa"/>
            <w:tcBorders/>
          </w:tcPr>
          <w:p>
            <w:pPr>
              <w:pStyle w:val="Contedodatabela"/>
              <w:widowControl w:val="false"/>
              <w:spacing w:lineRule="auto" w:line="276" w:before="57" w:after="57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363" w:type="dxa"/>
            <w:tcBorders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</w:tc>
        <w:tc>
          <w:tcPr>
            <w:tcW w:w="46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Decreto nº 2.167/2021</w:t>
            </w:r>
          </w:p>
        </w:tc>
      </w:tr>
    </w:tbl>
    <w:p>
      <w:pPr>
        <w:pStyle w:val="Normal"/>
        <w:tabs>
          <w:tab w:val="clear" w:pos="708"/>
          <w:tab w:val="left" w:pos="3390" w:leader="none"/>
          <w:tab w:val="center" w:pos="5032" w:leader="none"/>
        </w:tabs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3"/>
      <w:footerReference w:type="default" r:id="rId4"/>
      <w:type w:val="nextPage"/>
      <w:pgSz w:w="11906" w:h="16838"/>
      <w:pgMar w:left="1304" w:right="1134" w:gutter="0" w:header="708" w:top="1440" w:footer="737" w:bottom="1410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Verdana" w:hAnsi="Verdana"/>
        <w:sz w:val="16"/>
        <w:szCs w:val="16"/>
      </w:rPr>
    </w:pPr>
    <w:r>
      <w:rPr>
        <w:rFonts w:cs="Calibri" w:ascii="Verdana" w:hAnsi="Verdana"/>
        <w:b/>
        <w:bCs/>
        <w:sz w:val="16"/>
        <w:szCs w:val="16"/>
      </w:rPr>
      <w:t>Praça Vicente Glazar nº 159, Centro, São Gabriel da Palha, ES. CEP. 29.780-000.</w:t>
    </w:r>
  </w:p>
  <w:p>
    <w:pPr>
      <w:pStyle w:val="Header"/>
      <w:jc w:val="center"/>
      <w:rPr>
        <w:rFonts w:ascii="Verdana" w:hAnsi="Verdana"/>
        <w:sz w:val="16"/>
        <w:szCs w:val="16"/>
      </w:rPr>
    </w:pPr>
    <w:r>
      <w:rPr>
        <w:rFonts w:cs="Times New Roman" w:ascii="Verdana" w:hAnsi="Verdana"/>
        <w:b/>
        <w:bCs/>
        <w:sz w:val="16"/>
        <w:szCs w:val="16"/>
      </w:rPr>
      <w:t>Telefax 0(xx) 27 3727-1366.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Normal"/>
      <w:jc w:val="center"/>
      <w:rPr>
        <w:rFonts w:ascii="Arial Narrow" w:hAnsi="Arial Narrow" w:eastAsia="Times New Roman" w:cs="Arial Narrow"/>
        <w:b/>
        <w:color w:val="auto"/>
        <w:kern w:val="0"/>
        <w:lang w:val="pt-BR" w:eastAsia="zh-CN" w:bidi="ar-SA"/>
      </w:rPr>
    </w:pPr>
    <w:r>
      <w:rPr>
        <w:rFonts w:eastAsia="Times New Roman" w:cs="Arial Narrow" w:ascii="Arial Narrow" w:hAnsi="Arial Narrow"/>
        <w:b/>
        <w:color w:val="auto"/>
        <w:kern w:val="0"/>
        <w:lang w:val="pt-BR" w:eastAsia="zh-CN" w:bidi="ar-SA"/>
      </w:rPr>
    </w:r>
  </w:p>
  <w:p>
    <w:pPr>
      <w:pStyle w:val="Normal"/>
      <w:jc w:val="center"/>
      <w:rPr>
        <w:rFonts w:ascii="Arial Narrow" w:hAnsi="Arial Narrow" w:eastAsia="Times New Roman" w:cs="Arial Narrow"/>
        <w:b/>
        <w:color w:val="auto"/>
        <w:kern w:val="0"/>
        <w:lang w:val="pt-BR" w:eastAsia="zh-CN" w:bidi="ar-SA"/>
      </w:rPr>
    </w:pPr>
    <w:r>
      <w:rPr>
        <w:rFonts w:eastAsia="Times New Roman" w:cs="Arial Narrow" w:ascii="Arial Narrow" w:hAnsi="Arial Narrow"/>
        <w:b/>
        <w:color w:val="auto"/>
        <w:kern w:val="0"/>
        <w:lang w:val="pt-BR" w:eastAsia="zh-CN" w:bidi="ar-SA"/>
      </w:rPr>
    </w:r>
  </w:p>
  <w:p>
    <w:pPr>
      <w:pStyle w:val="Header"/>
      <w:rPr>
        <w:rFonts w:ascii="Arial Narrow" w:hAnsi="Arial Narrow" w:cs="Arial Narrow"/>
        <w:b/>
        <w:sz w:val="12"/>
        <w:szCs w:val="12"/>
      </w:rPr>
    </w:pPr>
    <w:r>
      <w:rPr>
        <w:rFonts w:cs="Arial Narrow" w:ascii="Arial Narrow" w:hAnsi="Arial Narrow"/>
        <w:b/>
        <w:sz w:val="12"/>
        <w:szCs w:val="1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2"/>
        <w:szCs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Marcadores">
    <w:name w:val="Marcadores"/>
    <w:qFormat/>
    <w:rPr>
      <w:rFonts w:ascii="OpenSymbol" w:hAnsi="OpenSymbol" w:eastAsia="OpenSymbol" w:cs="OpenSymbol"/>
      <w:sz w:val="22"/>
      <w:szCs w:val="22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Application>LibreOffice/7.6.7.2$Windows_X86_64 LibreOffice_project/dd47e4b30cb7dab30588d6c79c651f218165e3c5</Application>
  <AppVersion>15.0000</AppVersion>
  <Pages>4</Pages>
  <Words>1209</Words>
  <Characters>6789</Characters>
  <CharactersWithSpaces>7858</CharactersWithSpaces>
  <Paragraphs>152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2024-08-06T15:20:30Z</cp:lastPrinted>
  <dcterms:modified xsi:type="dcterms:W3CDTF">2024-08-06T15:25:50Z</dcterms:modified>
  <cp:revision>63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